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B40" w:rsidRDefault="00462B40" w:rsidP="00462B40">
      <w:pPr>
        <w:rPr>
          <w:rStyle w:val="None"/>
          <w:rFonts w:ascii="Helvetica" w:eastAsia="Helvetica" w:hAnsi="Helvetica" w:cs="Helvetica"/>
        </w:rPr>
      </w:pPr>
      <w:r>
        <w:rPr>
          <w:rStyle w:val="None"/>
          <w:noProof/>
        </w:rPr>
        <mc:AlternateContent>
          <mc:Choice Requires="wps">
            <w:drawing>
              <wp:anchor distT="57150" distB="57150" distL="57150" distR="57150" simplePos="0" relativeHeight="251659264" behindDoc="0" locked="0" layoutInCell="1" allowOverlap="1" wp14:anchorId="3223AC9A" wp14:editId="1DA161FF">
                <wp:simplePos x="0" y="0"/>
                <wp:positionH relativeFrom="margin">
                  <wp:align>right</wp:align>
                </wp:positionH>
                <wp:positionV relativeFrom="line">
                  <wp:posOffset>0</wp:posOffset>
                </wp:positionV>
                <wp:extent cx="4320540" cy="800100"/>
                <wp:effectExtent l="0" t="0" r="0" b="0"/>
                <wp:wrapSquare wrapText="bothSides" distT="57150" distB="57150" distL="57150" distR="57150"/>
                <wp:docPr id="1073741826" name="officeArt object" descr="BCMGA Special Allocations Request Form…"/>
                <wp:cNvGraphicFramePr/>
                <a:graphic xmlns:a="http://schemas.openxmlformats.org/drawingml/2006/main">
                  <a:graphicData uri="http://schemas.microsoft.com/office/word/2010/wordprocessingShape">
                    <wps:wsp>
                      <wps:cNvSpPr txBox="1"/>
                      <wps:spPr>
                        <a:xfrm>
                          <a:off x="0" y="0"/>
                          <a:ext cx="4320540" cy="800100"/>
                        </a:xfrm>
                        <a:prstGeom prst="rect">
                          <a:avLst/>
                        </a:prstGeom>
                        <a:noFill/>
                        <a:ln w="12700" cap="flat">
                          <a:noFill/>
                          <a:miter lim="400000"/>
                        </a:ln>
                        <a:effectLst/>
                      </wps:spPr>
                      <wps:txbx>
                        <w:txbxContent>
                          <w:p w:rsidR="00462B40" w:rsidRDefault="00462B40" w:rsidP="00462B40">
                            <w:pPr>
                              <w:jc w:val="center"/>
                              <w:rPr>
                                <w:rStyle w:val="None"/>
                                <w:rFonts w:ascii="Helvetica" w:eastAsia="Helvetica" w:hAnsi="Helvetica" w:cs="Helvetica"/>
                                <w:b/>
                                <w:bCs/>
                                <w:sz w:val="28"/>
                                <w:szCs w:val="28"/>
                              </w:rPr>
                            </w:pPr>
                            <w:r>
                              <w:rPr>
                                <w:rStyle w:val="None"/>
                                <w:rFonts w:ascii="Helvetica" w:hAnsi="Helvetica"/>
                                <w:b/>
                                <w:bCs/>
                                <w:sz w:val="28"/>
                                <w:szCs w:val="28"/>
                              </w:rPr>
                              <w:t>BCMGA Special Allocations Request Form</w:t>
                            </w:r>
                          </w:p>
                          <w:p w:rsidR="00462B40" w:rsidRDefault="00462B40" w:rsidP="00462B40">
                            <w:pPr>
                              <w:jc w:val="center"/>
                              <w:rPr>
                                <w:rStyle w:val="None"/>
                                <w:rFonts w:ascii="Helvetica" w:eastAsia="Helvetica" w:hAnsi="Helvetica" w:cs="Helvetica"/>
                                <w:b/>
                                <w:bCs/>
                                <w:sz w:val="28"/>
                                <w:szCs w:val="28"/>
                              </w:rPr>
                            </w:pPr>
                            <w:r>
                              <w:rPr>
                                <w:rStyle w:val="None"/>
                                <w:rFonts w:ascii="Helvetica" w:hAnsi="Helvetica"/>
                                <w:b/>
                                <w:bCs/>
                                <w:sz w:val="28"/>
                                <w:szCs w:val="28"/>
                              </w:rPr>
                              <w:t>Internal Project (BCMGA Committees)</w:t>
                            </w:r>
                          </w:p>
                          <w:p w:rsidR="00462B40" w:rsidRPr="004442E6" w:rsidRDefault="00462B40" w:rsidP="00462B40">
                            <w:pPr>
                              <w:jc w:val="center"/>
                              <w:rPr>
                                <w:rStyle w:val="None"/>
                                <w:rFonts w:ascii="Helvetica" w:hAnsi="Helvetica"/>
                                <w:b/>
                                <w:bCs/>
                                <w:sz w:val="20"/>
                                <w:szCs w:val="20"/>
                              </w:rPr>
                            </w:pPr>
                            <w:r>
                              <w:rPr>
                                <w:rStyle w:val="None"/>
                                <w:rFonts w:ascii="Helvetica" w:hAnsi="Helvetica"/>
                                <w:b/>
                                <w:bCs/>
                                <w:sz w:val="20"/>
                                <w:szCs w:val="20"/>
                              </w:rPr>
                              <w:t xml:space="preserve">Revised </w:t>
                            </w:r>
                            <w:r w:rsidRPr="004442E6">
                              <w:rPr>
                                <w:rStyle w:val="None"/>
                                <w:rFonts w:ascii="Helvetica" w:hAnsi="Helvetica"/>
                                <w:b/>
                                <w:bCs/>
                                <w:sz w:val="20"/>
                                <w:szCs w:val="20"/>
                              </w:rPr>
                              <w:t>2023</w:t>
                            </w:r>
                          </w:p>
                        </w:txbxContent>
                      </wps:txbx>
                      <wps:bodyPr wrap="square" lIns="91439" tIns="91439" rIns="91439" bIns="91439" numCol="1" anchor="t">
                        <a:noAutofit/>
                      </wps:bodyPr>
                    </wps:wsp>
                  </a:graphicData>
                </a:graphic>
                <wp14:sizeRelH relativeFrom="margin">
                  <wp14:pctWidth>0</wp14:pctWidth>
                </wp14:sizeRelH>
              </wp:anchor>
            </w:drawing>
          </mc:Choice>
          <mc:Fallback>
            <w:pict>
              <v:shapetype w14:anchorId="3223AC9A" id="_x0000_t202" coordsize="21600,21600" o:spt="202" path="m,l,21600r21600,l21600,xe">
                <v:stroke joinstyle="miter"/>
                <v:path gradientshapeok="t" o:connecttype="rect"/>
              </v:shapetype>
              <v:shape id="officeArt object" o:spid="_x0000_s1026" type="#_x0000_t202" alt="BCMGA Special Allocations Request Form…" style="position:absolute;margin-left:289pt;margin-top:0;width:340.2pt;height:63pt;z-index:251659264;visibility:visible;mso-wrap-style:square;mso-width-percent:0;mso-wrap-distance-left:4.5pt;mso-wrap-distance-top:4.5pt;mso-wrap-distance-right:4.5pt;mso-wrap-distance-bottom:4.5pt;mso-position-horizontal:right;mso-position-horizontal-relative:margin;mso-position-vertical:absolute;mso-position-vertical-relative:lin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" filled="f" stroked="f" strokeweight="1pt">
                <v:stroke miterlimit="4"/>
                <v:textbox inset="2.53997mm,2.53997mm,2.53997mm,2.53997mm">
                  <w:txbxContent>
                    <w:p w:rsidR="00462B40" w:rsidRDefault="00462B40" w:rsidP="00462B40">
                      <w:pPr>
                        <w:jc w:val="center"/>
                        <w:rPr>
                          <w:rStyle w:val="None"/>
                          <w:rFonts w:ascii="Helvetica" w:eastAsia="Helvetica" w:hAnsi="Helvetica" w:cs="Helvetica"/>
                          <w:b/>
                          <w:bCs/>
                          <w:sz w:val="28"/>
                          <w:szCs w:val="28"/>
                        </w:rPr>
                      </w:pPr>
                      <w:r>
                        <w:rPr>
                          <w:rStyle w:val="None"/>
                          <w:rFonts w:ascii="Helvetica" w:hAnsi="Helvetica"/>
                          <w:b/>
                          <w:bCs/>
                          <w:sz w:val="28"/>
                          <w:szCs w:val="28"/>
                        </w:rPr>
                        <w:t>BCMGA Special Allocations Request Form</w:t>
                      </w:r>
                    </w:p>
                    <w:p w:rsidR="00462B40" w:rsidRDefault="00462B40" w:rsidP="00462B40">
                      <w:pPr>
                        <w:jc w:val="center"/>
                        <w:rPr>
                          <w:rStyle w:val="None"/>
                          <w:rFonts w:ascii="Helvetica" w:eastAsia="Helvetica" w:hAnsi="Helvetica" w:cs="Helvetica"/>
                          <w:b/>
                          <w:bCs/>
                          <w:sz w:val="28"/>
                          <w:szCs w:val="28"/>
                        </w:rPr>
                      </w:pPr>
                      <w:r>
                        <w:rPr>
                          <w:rStyle w:val="None"/>
                          <w:rFonts w:ascii="Helvetica" w:hAnsi="Helvetica"/>
                          <w:b/>
                          <w:bCs/>
                          <w:sz w:val="28"/>
                          <w:szCs w:val="28"/>
                        </w:rPr>
                        <w:t>Internal Project (BCMGA Committees)</w:t>
                      </w:r>
                    </w:p>
                    <w:p w:rsidR="00462B40" w:rsidRPr="004442E6" w:rsidRDefault="00462B40" w:rsidP="00462B40">
                      <w:pPr>
                        <w:jc w:val="center"/>
                        <w:rPr>
                          <w:rStyle w:val="None"/>
                          <w:rFonts w:ascii="Helvetica" w:hAnsi="Helvetica"/>
                          <w:b/>
                          <w:bCs/>
                          <w:sz w:val="20"/>
                          <w:szCs w:val="20"/>
                        </w:rPr>
                      </w:pPr>
                      <w:r>
                        <w:rPr>
                          <w:rStyle w:val="None"/>
                          <w:rFonts w:ascii="Helvetica" w:hAnsi="Helvetica"/>
                          <w:b/>
                          <w:bCs/>
                          <w:sz w:val="20"/>
                          <w:szCs w:val="20"/>
                        </w:rPr>
                        <w:t xml:space="preserve">Revised </w:t>
                      </w:r>
                      <w:r w:rsidRPr="004442E6">
                        <w:rPr>
                          <w:rStyle w:val="None"/>
                          <w:rFonts w:ascii="Helvetica" w:hAnsi="Helvetica"/>
                          <w:b/>
                          <w:bCs/>
                          <w:sz w:val="20"/>
                          <w:szCs w:val="20"/>
                        </w:rPr>
                        <w:t>2023</w:t>
                      </w:r>
                    </w:p>
                  </w:txbxContent>
                </v:textbox>
                <w10:wrap type="square" anchorx="margin" anchory="line"/>
              </v:shape>
            </w:pict>
          </mc:Fallback>
        </mc:AlternateContent>
      </w:r>
      <w:r w:rsidRPr="00A86405">
        <w:rPr>
          <w:noProof/>
        </w:rPr>
        <w:drawing>
          <wp:inline distT="0" distB="0" distL="0" distR="0" wp14:anchorId="53392324" wp14:editId="5205FC0F">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r="27439" b="-3245"/>
                    <a:stretch/>
                  </pic:blipFill>
                  <pic:spPr bwMode="auto">
                    <a:xfrm>
                      <a:off x="0" y="0"/>
                      <a:ext cx="1258251" cy="1258251"/>
                    </a:xfrm>
                    <a:prstGeom prst="rect">
                      <a:avLst/>
                    </a:prstGeom>
                    <a:noFill/>
                    <a:ln>
                      <a:noFill/>
                    </a:ln>
                    <a:extLst>
                      <a:ext uri="{53640926-AAD7-44D8-BBD7-CCE9431645EC}">
                        <a14:shadowObscured xmlns:a14="http://schemas.microsoft.com/office/drawing/2010/main"/>
                      </a:ext>
                    </a:extLst>
                  </pic:spPr>
                </pic:pic>
              </a:graphicData>
            </a:graphic>
          </wp:inline>
        </w:drawing>
      </w:r>
    </w:p>
    <w:p w:rsidR="00462B40" w:rsidRDefault="00462B40" w:rsidP="00462B40">
      <w:pPr>
        <w:pBdr>
          <w:bottom w:val="single" w:sz="4" w:space="0" w:color="000000"/>
        </w:pBdr>
        <w:jc w:val="center"/>
        <w:rPr>
          <w:rStyle w:val="None"/>
          <w:rFonts w:ascii="Helvetica" w:eastAsia="Helvetica" w:hAnsi="Helvetica" w:cs="Helvetica"/>
        </w:rPr>
      </w:pPr>
    </w:p>
    <w:p w:rsidR="00462B40" w:rsidRDefault="00462B40" w:rsidP="00462B40">
      <w:pPr>
        <w:rPr>
          <w:rStyle w:val="None"/>
          <w:b/>
          <w:bCs/>
        </w:rPr>
      </w:pPr>
      <w:r>
        <w:rPr>
          <w:rStyle w:val="None"/>
          <w:b/>
          <w:bCs/>
        </w:rPr>
        <w:t>Criteria</w:t>
      </w:r>
    </w:p>
    <w:p w:rsidR="00462B40" w:rsidRPr="0084258F" w:rsidRDefault="00462B40" w:rsidP="00462B40">
      <w:pPr>
        <w:pStyle w:val="ColorfulList-Accent11"/>
        <w:numPr>
          <w:ilvl w:val="0"/>
          <w:numId w:val="2"/>
        </w:numPr>
        <w:spacing w:after="0" w:line="240" w:lineRule="auto"/>
        <w:rPr>
          <w:rFonts w:ascii="Times New Roman" w:hAnsi="Times New Roman" w:cs="Times New Roman"/>
          <w:sz w:val="24"/>
          <w:szCs w:val="24"/>
        </w:rPr>
      </w:pPr>
      <w:r w:rsidRPr="0084258F">
        <w:rPr>
          <w:rStyle w:val="None"/>
          <w:rFonts w:ascii="Times New Roman" w:hAnsi="Times New Roman" w:cs="Times New Roman"/>
          <w:sz w:val="24"/>
          <w:szCs w:val="24"/>
        </w:rPr>
        <w:t xml:space="preserve">The project must conform to one or more of the following </w:t>
      </w:r>
      <w:r w:rsidRPr="0084258F">
        <w:rPr>
          <w:rStyle w:val="None"/>
          <w:rFonts w:ascii="Times New Roman" w:hAnsi="Times New Roman" w:cs="Times New Roman"/>
          <w:b/>
          <w:bCs/>
          <w:sz w:val="24"/>
          <w:szCs w:val="24"/>
        </w:rPr>
        <w:t>purposes of BCMGA</w:t>
      </w:r>
      <w:r w:rsidRPr="0084258F">
        <w:rPr>
          <w:rStyle w:val="None"/>
          <w:rFonts w:ascii="Times New Roman" w:hAnsi="Times New Roman" w:cs="Times New Roman"/>
          <w:sz w:val="24"/>
          <w:szCs w:val="24"/>
        </w:rPr>
        <w:t xml:space="preserve">: </w:t>
      </w:r>
    </w:p>
    <w:p w:rsidR="00462B40" w:rsidRPr="0084258F" w:rsidRDefault="00462B40" w:rsidP="00462B40">
      <w:pPr>
        <w:numPr>
          <w:ilvl w:val="1"/>
          <w:numId w:val="2"/>
        </w:numPr>
        <w:rPr>
          <w:rFonts w:cs="Times New Roman"/>
        </w:rPr>
      </w:pPr>
      <w:r w:rsidRPr="0084258F">
        <w:rPr>
          <w:rStyle w:val="None"/>
          <w:rFonts w:cs="Times New Roman"/>
        </w:rPr>
        <w:t>To enhance and supplement the Oregon State University Master Gardener Program in conjunction with the Benton County Extension Service.</w:t>
      </w:r>
    </w:p>
    <w:p w:rsidR="00462B40" w:rsidRPr="0084258F" w:rsidRDefault="00462B40" w:rsidP="00462B40">
      <w:pPr>
        <w:numPr>
          <w:ilvl w:val="1"/>
          <w:numId w:val="2"/>
        </w:numPr>
        <w:rPr>
          <w:rFonts w:cs="Times New Roman"/>
        </w:rPr>
      </w:pPr>
      <w:r w:rsidRPr="0084258F">
        <w:rPr>
          <w:rStyle w:val="None"/>
          <w:rFonts w:cs="Times New Roman"/>
        </w:rPr>
        <w:t>To promote the public interest in gardening and home horticulture through education.</w:t>
      </w:r>
    </w:p>
    <w:p w:rsidR="00462B40" w:rsidRPr="0084258F" w:rsidRDefault="00462B40" w:rsidP="00462B40">
      <w:pPr>
        <w:numPr>
          <w:ilvl w:val="1"/>
          <w:numId w:val="2"/>
        </w:numPr>
        <w:rPr>
          <w:rFonts w:cs="Times New Roman"/>
        </w:rPr>
      </w:pPr>
      <w:r w:rsidRPr="0084258F">
        <w:rPr>
          <w:rStyle w:val="None"/>
          <w:rFonts w:cs="Times New Roman"/>
        </w:rPr>
        <w:t>To provide, in accordance with the standards established by OSU (Extension Service), assistance and information to the community and assistance to the OSU Extension Service such as office consultation, teaching horticulture, making speeches to groups, assisting with 4-H and other youth activities, helping with senior citizen programs, etc.</w:t>
      </w:r>
    </w:p>
    <w:p w:rsidR="00462B40" w:rsidRPr="0084258F" w:rsidRDefault="00462B40" w:rsidP="00462B40">
      <w:pPr>
        <w:numPr>
          <w:ilvl w:val="1"/>
          <w:numId w:val="2"/>
        </w:numPr>
        <w:rPr>
          <w:rFonts w:cs="Times New Roman"/>
        </w:rPr>
      </w:pPr>
      <w:r w:rsidRPr="0084258F">
        <w:rPr>
          <w:rStyle w:val="None"/>
          <w:rFonts w:cs="Times New Roman"/>
        </w:rPr>
        <w:t>To engage in fundraising projects throughout the year to obtain resources to further the objectives of the Association and of the OSU Extension Service.</w:t>
      </w:r>
    </w:p>
    <w:p w:rsidR="00462B40" w:rsidRPr="0084258F" w:rsidRDefault="00462B40" w:rsidP="00462B40">
      <w:pPr>
        <w:numPr>
          <w:ilvl w:val="1"/>
          <w:numId w:val="2"/>
        </w:numPr>
        <w:rPr>
          <w:rFonts w:cs="Times New Roman"/>
        </w:rPr>
      </w:pPr>
      <w:r w:rsidRPr="0084258F">
        <w:rPr>
          <w:rStyle w:val="None"/>
          <w:rFonts w:cs="Times New Roman"/>
        </w:rPr>
        <w:t>To engage in activities that will further the objectives of the Association and of the OSU Extension Service.</w:t>
      </w:r>
    </w:p>
    <w:p w:rsidR="00462B40" w:rsidRPr="0084258F" w:rsidRDefault="00462B40" w:rsidP="00462B40">
      <w:pPr>
        <w:numPr>
          <w:ilvl w:val="1"/>
          <w:numId w:val="2"/>
        </w:numPr>
        <w:rPr>
          <w:rFonts w:cs="Times New Roman"/>
        </w:rPr>
      </w:pPr>
      <w:r w:rsidRPr="0084258F">
        <w:rPr>
          <w:rStyle w:val="None"/>
          <w:rFonts w:cs="Times New Roman"/>
        </w:rPr>
        <w:t>To work with other organizations to enhance and promote gardening in the community.</w:t>
      </w:r>
    </w:p>
    <w:p w:rsidR="00462B40" w:rsidRPr="0084258F" w:rsidRDefault="00462B40" w:rsidP="00462B40">
      <w:pPr>
        <w:numPr>
          <w:ilvl w:val="0"/>
          <w:numId w:val="3"/>
        </w:numPr>
        <w:rPr>
          <w:rFonts w:cs="Times New Roman"/>
        </w:rPr>
      </w:pPr>
      <w:r w:rsidRPr="0084258F">
        <w:rPr>
          <w:rStyle w:val="None"/>
          <w:rFonts w:cs="Times New Roman"/>
        </w:rPr>
        <w:t>Funds requested must be for a one-time project or expense and not part of the annual operations of the committee.</w:t>
      </w:r>
    </w:p>
    <w:p w:rsidR="00462B40" w:rsidRPr="0084258F" w:rsidRDefault="00462B40" w:rsidP="00462B40">
      <w:pPr>
        <w:numPr>
          <w:ilvl w:val="0"/>
          <w:numId w:val="3"/>
        </w:numPr>
        <w:rPr>
          <w:rFonts w:cs="Times New Roman"/>
        </w:rPr>
      </w:pPr>
      <w:r w:rsidRPr="0084258F">
        <w:rPr>
          <w:rStyle w:val="None"/>
          <w:rFonts w:cs="Times New Roman"/>
        </w:rPr>
        <w:t xml:space="preserve">Funds are awarded in the current year and may be carried over to the following year. </w:t>
      </w:r>
    </w:p>
    <w:p w:rsidR="00462B40" w:rsidRPr="0084258F" w:rsidRDefault="00462B40" w:rsidP="00462B40">
      <w:pPr>
        <w:numPr>
          <w:ilvl w:val="0"/>
          <w:numId w:val="3"/>
        </w:numPr>
        <w:rPr>
          <w:rFonts w:cs="Times New Roman"/>
        </w:rPr>
      </w:pPr>
      <w:r w:rsidRPr="0084258F">
        <w:rPr>
          <w:rStyle w:val="None"/>
          <w:rFonts w:cs="Times New Roman"/>
        </w:rPr>
        <w:t>Information about the completion of the project should be included in the committee’s annual report. The completion of an association project should be reported to the board by the member who requested funds.</w:t>
      </w:r>
    </w:p>
    <w:p w:rsidR="00462B40" w:rsidRPr="0084258F" w:rsidRDefault="00462B40" w:rsidP="00462B40">
      <w:pPr>
        <w:numPr>
          <w:ilvl w:val="0"/>
          <w:numId w:val="3"/>
        </w:numPr>
        <w:pBdr>
          <w:bottom w:val="single" w:sz="4" w:space="0" w:color="000000"/>
        </w:pBdr>
        <w:rPr>
          <w:rFonts w:cs="Times New Roman"/>
        </w:rPr>
      </w:pPr>
      <w:r w:rsidRPr="0084258F">
        <w:rPr>
          <w:rStyle w:val="None"/>
          <w:rFonts w:cs="Times New Roman"/>
        </w:rPr>
        <w:t xml:space="preserve">The deadline for submission of the application is </w:t>
      </w:r>
      <w:r w:rsidRPr="002830C8">
        <w:rPr>
          <w:rStyle w:val="None"/>
          <w:rFonts w:cs="Times New Roman"/>
        </w:rPr>
        <w:t>set by the BCMGA board</w:t>
      </w:r>
      <w:r w:rsidRPr="0084258F">
        <w:rPr>
          <w:rStyle w:val="None"/>
          <w:rFonts w:cs="Times New Roman"/>
        </w:rPr>
        <w:t>. The application should be directed to the chairperson of the Special Allocations committee.</w:t>
      </w:r>
    </w:p>
    <w:p w:rsidR="00462B40" w:rsidRDefault="00462B40" w:rsidP="00462B40">
      <w:pPr>
        <w:ind w:left="360"/>
        <w:rPr>
          <w:rStyle w:val="None"/>
          <w:rFonts w:ascii="Cambria" w:eastAsia="Cambria" w:hAnsi="Cambria" w:cs="Cambria"/>
          <w:sz w:val="20"/>
          <w:szCs w:val="20"/>
        </w:rPr>
      </w:pPr>
    </w:p>
    <w:p w:rsidR="00462B40" w:rsidRDefault="00462B40" w:rsidP="00462B40">
      <w:r>
        <w:rPr>
          <w:rStyle w:val="None"/>
        </w:rPr>
        <w:t>1.   Date of Request:</w:t>
      </w:r>
    </w:p>
    <w:p w:rsidR="00462B40" w:rsidRDefault="00462B40" w:rsidP="00462B40"/>
    <w:p w:rsidR="00462B40" w:rsidRDefault="00462B40" w:rsidP="00462B40">
      <w:r>
        <w:rPr>
          <w:rStyle w:val="None"/>
        </w:rPr>
        <w:t>2.   Name of Requestor:</w:t>
      </w:r>
    </w:p>
    <w:p w:rsidR="00462B40" w:rsidRDefault="00462B40" w:rsidP="00462B40"/>
    <w:p w:rsidR="00462B40" w:rsidRDefault="00462B40" w:rsidP="00462B40">
      <w:pPr>
        <w:ind w:firstLine="720"/>
      </w:pPr>
      <w:r>
        <w:rPr>
          <w:rStyle w:val="None"/>
        </w:rPr>
        <w:t xml:space="preserve"> Phone:</w:t>
      </w:r>
      <w:r>
        <w:rPr>
          <w:rStyle w:val="None"/>
        </w:rPr>
        <w:tab/>
      </w:r>
      <w:r>
        <w:rPr>
          <w:rStyle w:val="None"/>
        </w:rPr>
        <w:tab/>
      </w:r>
      <w:r>
        <w:rPr>
          <w:rStyle w:val="None"/>
        </w:rPr>
        <w:tab/>
      </w:r>
      <w:r>
        <w:rPr>
          <w:rStyle w:val="None"/>
        </w:rPr>
        <w:tab/>
        <w:t xml:space="preserve"> Email:</w:t>
      </w:r>
    </w:p>
    <w:p w:rsidR="00462B40" w:rsidRDefault="00462B40" w:rsidP="00462B40"/>
    <w:p w:rsidR="00462B40" w:rsidRDefault="00462B40" w:rsidP="00462B40">
      <w:r>
        <w:rPr>
          <w:rStyle w:val="None"/>
        </w:rPr>
        <w:t>3.   Requested for:</w:t>
      </w:r>
      <w:r>
        <w:rPr>
          <w:rStyle w:val="None"/>
        </w:rPr>
        <w:tab/>
        <w:t>Committee____    Board_____   Individual_____ (check one)</w:t>
      </w:r>
    </w:p>
    <w:p w:rsidR="00462B40" w:rsidRDefault="00462B40" w:rsidP="00462B40"/>
    <w:p w:rsidR="00462B40" w:rsidRDefault="00462B40" w:rsidP="00462B40">
      <w:pPr>
        <w:rPr>
          <w:rStyle w:val="None"/>
        </w:rPr>
      </w:pPr>
      <w:r>
        <w:rPr>
          <w:rStyle w:val="None"/>
        </w:rPr>
        <w:tab/>
        <w:t>Committee Name:</w:t>
      </w:r>
    </w:p>
    <w:p w:rsidR="00462B40" w:rsidRDefault="00462B40" w:rsidP="00462B40"/>
    <w:p w:rsidR="00462B40" w:rsidRDefault="00462B40" w:rsidP="00462B40">
      <w:r>
        <w:rPr>
          <w:rStyle w:val="None"/>
        </w:rPr>
        <w:t>4.   Amount Requested:</w:t>
      </w:r>
    </w:p>
    <w:p w:rsidR="00462B40" w:rsidRDefault="00462B40" w:rsidP="00462B40">
      <w:r>
        <w:rPr>
          <w:rStyle w:val="None"/>
        </w:rPr>
        <w:lastRenderedPageBreak/>
        <w:t>5.   Description of Project: Please describe in detail. Explain why this project is needed and how it supports one of the BCMGA purposes as described above. Attach additional information if necessary.</w:t>
      </w:r>
    </w:p>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Pr>
        <w:rPr>
          <w:rStyle w:val="None"/>
          <w:b/>
          <w:bCs/>
        </w:rPr>
      </w:pPr>
    </w:p>
    <w:p w:rsidR="00462B40" w:rsidRDefault="00462B40" w:rsidP="00462B40">
      <w:pPr>
        <w:rPr>
          <w:rStyle w:val="None"/>
          <w:b/>
          <w:bCs/>
        </w:rPr>
      </w:pPr>
    </w:p>
    <w:p w:rsidR="00462B40" w:rsidRDefault="00462B40" w:rsidP="00462B40">
      <w:pPr>
        <w:rPr>
          <w:rStyle w:val="None"/>
          <w:b/>
          <w:bCs/>
        </w:rPr>
      </w:pPr>
    </w:p>
    <w:p w:rsidR="00462B40" w:rsidRDefault="00462B40" w:rsidP="00462B40"/>
    <w:p w:rsidR="00462B40" w:rsidRDefault="00462B40" w:rsidP="00462B40"/>
    <w:p w:rsidR="00462B40" w:rsidRDefault="00462B40" w:rsidP="00462B40">
      <w:r>
        <w:rPr>
          <w:rStyle w:val="None"/>
        </w:rPr>
        <w:t>6.   Detailed budget (what will be purchased, proposed vendor, estimated costs for each item, etc.):</w:t>
      </w:r>
    </w:p>
    <w:p w:rsidR="00462B40" w:rsidRDefault="00462B40" w:rsidP="00462B40">
      <w:pPr>
        <w:rPr>
          <w:rStyle w:val="None"/>
          <w:b/>
          <w:bCs/>
        </w:rPr>
      </w:pPr>
    </w:p>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p w:rsidR="00462B40" w:rsidRDefault="00462B40" w:rsidP="00462B40">
      <w:r>
        <w:rPr>
          <w:rStyle w:val="None"/>
        </w:rPr>
        <w:t>7.   Proposed Completion Date:</w:t>
      </w:r>
    </w:p>
    <w:p w:rsidR="00462B40" w:rsidRDefault="00462B40" w:rsidP="00462B40"/>
    <w:p w:rsidR="00462B40" w:rsidRDefault="00462B40" w:rsidP="00462B40">
      <w:pPr>
        <w:rPr>
          <w:rStyle w:val="None"/>
        </w:rPr>
      </w:pPr>
      <w:r>
        <w:rPr>
          <w:rStyle w:val="None"/>
        </w:rPr>
        <w:t>---------------------------------------------------------------------------------------------------------------------</w:t>
      </w:r>
    </w:p>
    <w:p w:rsidR="00462B40" w:rsidRDefault="00462B40" w:rsidP="00462B40">
      <w:r>
        <w:rPr>
          <w:rStyle w:val="None"/>
          <w:sz w:val="20"/>
          <w:szCs w:val="20"/>
        </w:rPr>
        <w:t>for committee use</w:t>
      </w:r>
    </w:p>
    <w:p w:rsidR="00000000" w:rsidRDefault="00000000">
      <w:pPr>
        <w:rPr>
          <w:noProof/>
        </w:rPr>
      </w:pPr>
    </w:p>
    <w:sectPr w:rsidR="00EB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7E06"/>
    <w:multiLevelType w:val="hybridMultilevel"/>
    <w:tmpl w:val="F2AC6252"/>
    <w:styleLink w:val="ImportedStyle59"/>
    <w:lvl w:ilvl="0" w:tplc="3F4E12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5014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FED99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5FCAF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9878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CE66C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07ED2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0A92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BED318">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5901B0"/>
    <w:multiLevelType w:val="hybridMultilevel"/>
    <w:tmpl w:val="F2AC6252"/>
    <w:numStyleLink w:val="ImportedStyle59"/>
  </w:abstractNum>
  <w:num w:numId="1" w16cid:durableId="284967346">
    <w:abstractNumId w:val="0"/>
  </w:num>
  <w:num w:numId="2" w16cid:durableId="1580944056">
    <w:abstractNumId w:val="1"/>
  </w:num>
  <w:num w:numId="3" w16cid:durableId="1964384575">
    <w:abstractNumId w:val="1"/>
    <w:lvlOverride w:ilvl="0">
      <w:lvl w:ilvl="0" w:tplc="4DF64E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2625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D6700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A20C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E670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E4568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F69F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7C80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1C78E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0"/>
    <w:rsid w:val="00462B40"/>
    <w:rsid w:val="005C0AEC"/>
    <w:rsid w:val="005F3D60"/>
    <w:rsid w:val="00E01647"/>
    <w:rsid w:val="00EA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9DC46"/>
  <w15:chartTrackingRefBased/>
  <w15:docId w15:val="{63BD8A02-B727-AB4D-9D60-54D60700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40"/>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rsid w:val="00462B40"/>
    <w:pPr>
      <w:pBdr>
        <w:top w:val="nil"/>
        <w:left w:val="nil"/>
        <w:bottom w:val="nil"/>
        <w:right w:val="nil"/>
        <w:between w:val="nil"/>
        <w:bar w:val="nil"/>
      </w:pBdr>
      <w:spacing w:after="200" w:line="276" w:lineRule="auto"/>
      <w:ind w:left="720"/>
    </w:pPr>
    <w:rPr>
      <w:rFonts w:ascii="Calibri" w:eastAsia="Calibri" w:hAnsi="Calibri" w:cs="Calibri"/>
      <w:color w:val="000000"/>
      <w:kern w:val="0"/>
      <w:sz w:val="22"/>
      <w:szCs w:val="22"/>
      <w:u w:color="000000"/>
      <w:bdr w:val="nil"/>
      <w14:ligatures w14:val="none"/>
    </w:rPr>
  </w:style>
  <w:style w:type="character" w:customStyle="1" w:styleId="None">
    <w:name w:val="None"/>
    <w:rsid w:val="00462B40"/>
  </w:style>
  <w:style w:type="numbering" w:customStyle="1" w:styleId="ImportedStyle59">
    <w:name w:val="Imported Style 59"/>
    <w:rsid w:val="00462B4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2026-03-24T15:35:00Z</dcterms:created>
  <dcterms:modified xsi:type="dcterms:W3CDTF">2026-03-24T15:36:00Z</dcterms:modified>
</cp:coreProperties>
</file>